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1EFD" w14:textId="77777777" w:rsidR="00DF74D9" w:rsidRDefault="00DF74D9"/>
    <w:p w14:paraId="2A045A3A" w14:textId="7EC312C6" w:rsidR="00DA0CC3" w:rsidRPr="00573DEE" w:rsidRDefault="00DA0CC3" w:rsidP="00DA0C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3DEE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D861F" wp14:editId="407F43E1">
                <wp:simplePos x="0" y="0"/>
                <wp:positionH relativeFrom="column">
                  <wp:posOffset>-104775</wp:posOffset>
                </wp:positionH>
                <wp:positionV relativeFrom="paragraph">
                  <wp:posOffset>581025</wp:posOffset>
                </wp:positionV>
                <wp:extent cx="6257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DB20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45.75pt" to="484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" strokecolor="#4a7ebb"/>
            </w:pict>
          </mc:Fallback>
        </mc:AlternateContent>
      </w:r>
      <w:r w:rsidRPr="00573DEE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E8E0" wp14:editId="7A01C6EB">
                <wp:simplePos x="0" y="0"/>
                <wp:positionH relativeFrom="column">
                  <wp:posOffset>-104776</wp:posOffset>
                </wp:positionH>
                <wp:positionV relativeFrom="paragraph">
                  <wp:posOffset>-152400</wp:posOffset>
                </wp:positionV>
                <wp:extent cx="62579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639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2pt" to="484.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EnnAEAAJQDAAAOAAAAZHJzL2Uyb0RvYy54bWysU02P0zAQvSPxHyzfadJKu0D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Pr="00573DEE">
        <w:rPr>
          <w:rFonts w:ascii="Times New Roman" w:hAnsi="Times New Roman" w:cs="Times New Roman"/>
          <w:b/>
          <w:sz w:val="28"/>
          <w:szCs w:val="24"/>
        </w:rPr>
        <w:t>Summary of Content Changes</w:t>
      </w:r>
      <w:r w:rsidRPr="00573DEE">
        <w:rPr>
          <w:rFonts w:ascii="Times New Roman" w:hAnsi="Times New Roman" w:cs="Times New Roman"/>
          <w:b/>
          <w:sz w:val="28"/>
          <w:szCs w:val="24"/>
        </w:rPr>
        <w:br/>
        <w:t>202</w:t>
      </w:r>
      <w:r w:rsidR="006836B8">
        <w:rPr>
          <w:rFonts w:ascii="Times New Roman" w:hAnsi="Times New Roman" w:cs="Times New Roman"/>
          <w:b/>
          <w:sz w:val="28"/>
          <w:szCs w:val="24"/>
        </w:rPr>
        <w:t>3</w:t>
      </w:r>
      <w:r w:rsidRPr="00573DEE">
        <w:rPr>
          <w:rFonts w:ascii="Times New Roman" w:hAnsi="Times New Roman" w:cs="Times New Roman"/>
          <w:b/>
          <w:sz w:val="28"/>
          <w:szCs w:val="24"/>
        </w:rPr>
        <w:t>.</w:t>
      </w:r>
      <w:r w:rsidR="004E0AAA">
        <w:rPr>
          <w:rFonts w:ascii="Times New Roman" w:hAnsi="Times New Roman" w:cs="Times New Roman"/>
          <w:b/>
          <w:sz w:val="28"/>
          <w:szCs w:val="24"/>
        </w:rPr>
        <w:t>2</w:t>
      </w:r>
      <w:r w:rsidRPr="00573DEE">
        <w:rPr>
          <w:rFonts w:ascii="Times New Roman" w:hAnsi="Times New Roman" w:cs="Times New Roman"/>
          <w:b/>
          <w:sz w:val="28"/>
          <w:szCs w:val="24"/>
        </w:rPr>
        <w:t xml:space="preserve"> Update – </w:t>
      </w:r>
      <w:r w:rsidR="00E30A44">
        <w:rPr>
          <w:rFonts w:ascii="Times New Roman" w:hAnsi="Times New Roman" w:cs="Times New Roman"/>
          <w:b/>
          <w:sz w:val="28"/>
          <w:szCs w:val="24"/>
        </w:rPr>
        <w:t>January 2023</w:t>
      </w:r>
    </w:p>
    <w:p w14:paraId="04061A72" w14:textId="77777777" w:rsidR="00DA0CC3" w:rsidRPr="00573DEE" w:rsidRDefault="00DA0CC3" w:rsidP="00DA0C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3143CE" w14:textId="77777777" w:rsidR="00DA0CC3" w:rsidRPr="00C40A26" w:rsidRDefault="00DA0CC3" w:rsidP="00C40A26">
      <w:pPr>
        <w:spacing w:after="0" w:line="240" w:lineRule="auto"/>
        <w:rPr>
          <w:rFonts w:cstheme="minorHAnsi"/>
          <w:b/>
          <w:sz w:val="32"/>
          <w:szCs w:val="32"/>
        </w:rPr>
      </w:pPr>
      <w:r w:rsidRPr="00C40A26">
        <w:rPr>
          <w:rFonts w:cstheme="minorHAnsi"/>
          <w:b/>
          <w:sz w:val="32"/>
          <w:szCs w:val="32"/>
        </w:rPr>
        <w:t>General Notes</w:t>
      </w:r>
    </w:p>
    <w:p w14:paraId="7F0C75D8" w14:textId="175B148A" w:rsidR="00055BD6" w:rsidRDefault="00055BD6" w:rsidP="00055BD6">
      <w:pPr>
        <w:spacing w:after="0"/>
      </w:pPr>
      <w:r>
        <w:t>CU PolicyPro continues to update content</w:t>
      </w:r>
      <w:r w:rsidR="005574BF">
        <w:t xml:space="preserve"> to separate out required policies and associated procedures/resources.</w:t>
      </w:r>
      <w:r>
        <w:t xml:space="preserve"> </w:t>
      </w:r>
      <w:r w:rsidR="005574BF">
        <w:t xml:space="preserve"> </w:t>
      </w:r>
      <w:r>
        <w:t xml:space="preserve">In </w:t>
      </w:r>
      <w:r w:rsidR="005574BF">
        <w:t xml:space="preserve">this update, we </w:t>
      </w:r>
      <w:r w:rsidR="00681620">
        <w:t xml:space="preserve">have reviewed the content </w:t>
      </w:r>
      <w:r w:rsidR="00F12155">
        <w:t xml:space="preserve">and made corresponding changes </w:t>
      </w:r>
      <w:r w:rsidR="00681620">
        <w:t xml:space="preserve">within </w:t>
      </w:r>
      <w:r w:rsidR="00F12155">
        <w:t>the 3000 Accounting Chapter.</w:t>
      </w:r>
    </w:p>
    <w:p w14:paraId="1C11D14A" w14:textId="77777777" w:rsidR="00055BD6" w:rsidRDefault="00055BD6" w:rsidP="00055BD6">
      <w:pPr>
        <w:spacing w:after="0"/>
      </w:pPr>
    </w:p>
    <w:p w14:paraId="48C93E6A" w14:textId="493B6087" w:rsidR="0079652D" w:rsidRDefault="00F12155" w:rsidP="002F28AF">
      <w:pPr>
        <w:spacing w:after="0"/>
        <w:rPr>
          <w:rFonts w:cstheme="minorHAnsi"/>
          <w:b/>
          <w:sz w:val="24"/>
          <w:szCs w:val="24"/>
          <w:u w:val="single"/>
        </w:rPr>
      </w:pPr>
      <w:r>
        <w:t xml:space="preserve">Additional </w:t>
      </w:r>
      <w:r w:rsidR="007F446A">
        <w:t xml:space="preserve">policy amendments include the </w:t>
      </w:r>
      <w:r w:rsidR="00D81595">
        <w:t xml:space="preserve">addition of an exit strategy within the Bank Secrecy Act – Servicing </w:t>
      </w:r>
      <w:r w:rsidR="0024208B">
        <w:t>Marijuana</w:t>
      </w:r>
      <w:r w:rsidR="00D81595">
        <w:t xml:space="preserve">-Related Accounts </w:t>
      </w:r>
      <w:r w:rsidR="0086712F">
        <w:t>P</w:t>
      </w:r>
      <w:r w:rsidR="00D81595">
        <w:t xml:space="preserve">olicy </w:t>
      </w:r>
      <w:r w:rsidR="00DD5BEA">
        <w:t>(</w:t>
      </w:r>
      <w:r w:rsidR="0086712F">
        <w:t xml:space="preserve">2112) </w:t>
      </w:r>
      <w:r w:rsidR="00D81595">
        <w:t xml:space="preserve">and the </w:t>
      </w:r>
      <w:r w:rsidR="0024208B">
        <w:t xml:space="preserve">addition of </w:t>
      </w:r>
      <w:r w:rsidR="001810E8">
        <w:t xml:space="preserve">language pertaining to </w:t>
      </w:r>
      <w:r w:rsidR="0024208B">
        <w:t xml:space="preserve">a </w:t>
      </w:r>
      <w:hyperlink r:id="rId5" w:history="1">
        <w:r w:rsidR="0024208B" w:rsidRPr="0086712F">
          <w:rPr>
            <w:rStyle w:val="Hyperlink"/>
          </w:rPr>
          <w:t>California Law</w:t>
        </w:r>
      </w:hyperlink>
      <w:r w:rsidR="0024208B">
        <w:t xml:space="preserve"> to the Military Personnel Loans </w:t>
      </w:r>
      <w:r w:rsidR="0086712F">
        <w:t>P</w:t>
      </w:r>
      <w:r w:rsidR="0024208B">
        <w:t xml:space="preserve">olicy </w:t>
      </w:r>
      <w:r w:rsidR="0086712F">
        <w:t xml:space="preserve">(7213) </w:t>
      </w:r>
      <w:r w:rsidR="0024208B">
        <w:t xml:space="preserve">that will impact all credit unions who have </w:t>
      </w:r>
      <w:r w:rsidR="00522BA4">
        <w:t xml:space="preserve">military members doing business in or </w:t>
      </w:r>
      <w:r w:rsidR="001810E8">
        <w:t xml:space="preserve">who </w:t>
      </w:r>
      <w:r w:rsidR="00522BA4">
        <w:t xml:space="preserve">are residents of California.  </w:t>
      </w:r>
    </w:p>
    <w:p w14:paraId="02670484" w14:textId="72206488" w:rsidR="00C63F95" w:rsidRDefault="00C63F95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FBDB1B6" w14:textId="5944CBD4" w:rsidR="002F28AF" w:rsidRPr="002F28AF" w:rsidRDefault="002F28AF" w:rsidP="0079652D">
      <w:pPr>
        <w:spacing w:after="0" w:line="240" w:lineRule="auto"/>
        <w:rPr>
          <w:rFonts w:cstheme="minorHAnsi"/>
          <w:b/>
          <w:sz w:val="24"/>
          <w:szCs w:val="24"/>
        </w:rPr>
      </w:pPr>
      <w:r w:rsidRPr="00C40A26">
        <w:rPr>
          <w:rFonts w:cstheme="minorHAnsi"/>
          <w:b/>
          <w:sz w:val="32"/>
          <w:szCs w:val="32"/>
        </w:rPr>
        <w:t>Policy Updates</w:t>
      </w:r>
      <w:r>
        <w:rPr>
          <w:rFonts w:cstheme="minorHAnsi"/>
          <w:b/>
          <w:sz w:val="24"/>
          <w:szCs w:val="24"/>
        </w:rPr>
        <w:br/>
        <w:t xml:space="preserve"> </w:t>
      </w:r>
    </w:p>
    <w:p w14:paraId="6B4673AF" w14:textId="07D4259B" w:rsidR="00A566EA" w:rsidRPr="00163212" w:rsidRDefault="00A566EA" w:rsidP="00A566EA">
      <w:pPr>
        <w:rPr>
          <w:sz w:val="24"/>
          <w:szCs w:val="24"/>
        </w:rPr>
      </w:pPr>
      <w:r w:rsidRPr="00163212">
        <w:rPr>
          <w:b/>
          <w:bCs/>
          <w:sz w:val="24"/>
          <w:szCs w:val="24"/>
          <w:u w:val="single"/>
        </w:rPr>
        <w:t>15</w:t>
      </w:r>
      <w:r w:rsidR="00CC1B63" w:rsidRPr="00163212">
        <w:rPr>
          <w:b/>
          <w:bCs/>
          <w:sz w:val="24"/>
          <w:szCs w:val="24"/>
          <w:u w:val="single"/>
        </w:rPr>
        <w:t>00.14</w:t>
      </w:r>
      <w:r w:rsidRPr="00163212">
        <w:rPr>
          <w:b/>
          <w:bCs/>
          <w:sz w:val="24"/>
          <w:szCs w:val="24"/>
          <w:u w:val="single"/>
        </w:rPr>
        <w:t xml:space="preserve"> – </w:t>
      </w:r>
      <w:r w:rsidR="00CC1B63" w:rsidRPr="00163212">
        <w:rPr>
          <w:b/>
          <w:bCs/>
          <w:sz w:val="24"/>
          <w:szCs w:val="24"/>
          <w:u w:val="single"/>
        </w:rPr>
        <w:t>Payroll</w:t>
      </w:r>
      <w:r w:rsidRPr="00163212">
        <w:rPr>
          <w:sz w:val="24"/>
          <w:szCs w:val="24"/>
          <w:u w:val="single"/>
        </w:rPr>
        <w:t xml:space="preserve"> </w:t>
      </w:r>
      <w:r w:rsidRPr="00163212">
        <w:rPr>
          <w:b/>
          <w:bCs/>
          <w:color w:val="FF0000"/>
          <w:sz w:val="24"/>
          <w:szCs w:val="24"/>
          <w:u w:val="single"/>
        </w:rPr>
        <w:t xml:space="preserve">**PREVIOUSLY POLICY </w:t>
      </w:r>
      <w:r w:rsidR="00CC1B63" w:rsidRPr="00163212">
        <w:rPr>
          <w:b/>
          <w:bCs/>
          <w:color w:val="FF0000"/>
          <w:sz w:val="24"/>
          <w:szCs w:val="24"/>
          <w:u w:val="single"/>
        </w:rPr>
        <w:t>3145</w:t>
      </w:r>
      <w:r w:rsidRPr="00163212">
        <w:rPr>
          <w:b/>
          <w:bCs/>
          <w:color w:val="FF0000"/>
          <w:sz w:val="24"/>
          <w:szCs w:val="24"/>
          <w:u w:val="single"/>
        </w:rPr>
        <w:t>**</w:t>
      </w:r>
    </w:p>
    <w:p w14:paraId="58206F63" w14:textId="5DE06868" w:rsidR="00A566EA" w:rsidRPr="00163212" w:rsidRDefault="00A566EA" w:rsidP="00A566EA">
      <w:pPr>
        <w:rPr>
          <w:sz w:val="24"/>
          <w:szCs w:val="24"/>
        </w:rPr>
      </w:pPr>
      <w:r w:rsidRPr="00163212">
        <w:rPr>
          <w:sz w:val="24"/>
          <w:szCs w:val="24"/>
        </w:rPr>
        <w:t xml:space="preserve">What was previously Policy </w:t>
      </w:r>
      <w:r w:rsidR="00CC1B63" w:rsidRPr="00163212">
        <w:rPr>
          <w:sz w:val="24"/>
          <w:szCs w:val="24"/>
        </w:rPr>
        <w:t>3145,</w:t>
      </w:r>
      <w:r w:rsidRPr="00163212">
        <w:rPr>
          <w:sz w:val="24"/>
          <w:szCs w:val="24"/>
        </w:rPr>
        <w:t xml:space="preserve"> has been changed to be a resource under the </w:t>
      </w:r>
      <w:r w:rsidR="00163212" w:rsidRPr="00163212">
        <w:rPr>
          <w:sz w:val="24"/>
          <w:szCs w:val="24"/>
        </w:rPr>
        <w:t>Staffing and Human Resources policy</w:t>
      </w:r>
      <w:r w:rsidRPr="00163212">
        <w:rPr>
          <w:sz w:val="24"/>
          <w:szCs w:val="24"/>
        </w:rPr>
        <w:t xml:space="preserve">.  Since this is not a required policy, the document will be used to build the credit union’s </w:t>
      </w:r>
      <w:r w:rsidR="00163212" w:rsidRPr="00163212">
        <w:rPr>
          <w:sz w:val="24"/>
          <w:szCs w:val="24"/>
        </w:rPr>
        <w:t>personnel policies</w:t>
      </w:r>
      <w:r w:rsidRPr="00163212">
        <w:rPr>
          <w:sz w:val="24"/>
          <w:szCs w:val="24"/>
        </w:rPr>
        <w:t>.</w:t>
      </w:r>
      <w:r w:rsidR="00163212" w:rsidRPr="00163212">
        <w:rPr>
          <w:sz w:val="24"/>
          <w:szCs w:val="24"/>
        </w:rPr>
        <w:t xml:space="preserve"> </w:t>
      </w:r>
      <w:r w:rsidRPr="00163212">
        <w:rPr>
          <w:b/>
          <w:bCs/>
          <w:color w:val="FF0000"/>
          <w:sz w:val="24"/>
          <w:szCs w:val="24"/>
        </w:rPr>
        <w:t>(Recommended)</w:t>
      </w:r>
    </w:p>
    <w:p w14:paraId="1AB047DC" w14:textId="25CC3E10" w:rsidR="00417462" w:rsidRDefault="00375D98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2112 – Bank Secrecy Act: Servicing Marijuana-Related Accounts</w:t>
      </w:r>
    </w:p>
    <w:p w14:paraId="57D8EB55" w14:textId="273B19D1" w:rsidR="00417462" w:rsidRPr="00375D98" w:rsidRDefault="00670173" w:rsidP="0079652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Policy 2112 was revised to include a section specifically related to the credit union’s exit strategy for marijuana-related accounts.  </w:t>
      </w:r>
      <w:r w:rsidR="00974218" w:rsidRPr="00974218">
        <w:rPr>
          <w:rFonts w:cstheme="minorHAnsi"/>
          <w:b/>
          <w:color w:val="FF0000"/>
          <w:sz w:val="24"/>
          <w:szCs w:val="24"/>
        </w:rPr>
        <w:t>(Recommended)</w:t>
      </w:r>
    </w:p>
    <w:p w14:paraId="0A7D45C3" w14:textId="02E9F8AD" w:rsidR="00375D98" w:rsidRDefault="00375D98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27B8420" w14:textId="5C6FA92D" w:rsidR="009E45DF" w:rsidRDefault="009E45DF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3105 – Accounts Payable</w:t>
      </w:r>
    </w:p>
    <w:p w14:paraId="42B9F877" w14:textId="3BBF07AD" w:rsidR="00D54EAC" w:rsidRPr="00D54EAC" w:rsidRDefault="00290942" w:rsidP="0079652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Policy 3105 was revised to include additional language on </w:t>
      </w:r>
      <w:r w:rsidR="008C39DE">
        <w:rPr>
          <w:rFonts w:cstheme="minorHAnsi"/>
          <w:bCs/>
          <w:sz w:val="24"/>
          <w:szCs w:val="24"/>
        </w:rPr>
        <w:t xml:space="preserve">controls and record retention. </w:t>
      </w:r>
      <w:r w:rsidR="008C39DE" w:rsidRPr="008C39DE">
        <w:rPr>
          <w:rFonts w:cstheme="minorHAnsi"/>
          <w:b/>
          <w:color w:val="FF0000"/>
          <w:sz w:val="24"/>
          <w:szCs w:val="24"/>
        </w:rPr>
        <w:t>(Recommended)</w:t>
      </w:r>
    </w:p>
    <w:p w14:paraId="00D2238A" w14:textId="24F6D9ED" w:rsidR="009E45DF" w:rsidRDefault="009E45DF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D131A96" w14:textId="57F092BE" w:rsidR="00817546" w:rsidRDefault="00817546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3115 – Credit Union-Owned Credit Cards</w:t>
      </w:r>
    </w:p>
    <w:p w14:paraId="433A6CE6" w14:textId="1E2F149F" w:rsidR="00817546" w:rsidRPr="00817546" w:rsidRDefault="00817546" w:rsidP="0079652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policy was updated to </w:t>
      </w:r>
      <w:r w:rsidR="006772F5">
        <w:rPr>
          <w:rFonts w:cstheme="minorHAnsi"/>
          <w:bCs/>
          <w:sz w:val="24"/>
          <w:szCs w:val="24"/>
        </w:rPr>
        <w:t xml:space="preserve">include prohibited transactions and document potential violations of policy.  </w:t>
      </w:r>
      <w:r w:rsidR="006772F5" w:rsidRPr="008C39DE">
        <w:rPr>
          <w:rFonts w:cstheme="minorHAnsi"/>
          <w:b/>
          <w:color w:val="FF0000"/>
          <w:sz w:val="24"/>
          <w:szCs w:val="24"/>
        </w:rPr>
        <w:t>(Recommended)</w:t>
      </w:r>
    </w:p>
    <w:p w14:paraId="182E4CD9" w14:textId="77777777" w:rsidR="00817546" w:rsidRDefault="00817546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47343758" w14:textId="4ABD91B4" w:rsidR="00DA5174" w:rsidRDefault="00DA5174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3125 </w:t>
      </w:r>
      <w:r w:rsidR="00BB4F49">
        <w:rPr>
          <w:rFonts w:cstheme="minorHAnsi"/>
          <w:b/>
          <w:sz w:val="24"/>
          <w:szCs w:val="24"/>
          <w:u w:val="single"/>
        </w:rPr>
        <w:t>–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BB4F49">
        <w:rPr>
          <w:rFonts w:cstheme="minorHAnsi"/>
          <w:b/>
          <w:sz w:val="24"/>
          <w:szCs w:val="24"/>
          <w:u w:val="single"/>
        </w:rPr>
        <w:t>Financial Institution Reconciliations</w:t>
      </w:r>
    </w:p>
    <w:p w14:paraId="3F370B9D" w14:textId="4B687D80" w:rsidR="005B3071" w:rsidRDefault="00770AE9" w:rsidP="0079652D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>Policy 3125 was updated</w:t>
      </w:r>
      <w:r w:rsidR="00740A5E">
        <w:rPr>
          <w:rFonts w:cstheme="minorHAnsi"/>
          <w:bCs/>
          <w:sz w:val="24"/>
          <w:szCs w:val="24"/>
        </w:rPr>
        <w:t xml:space="preserve"> with minor housekeeping changes.  </w:t>
      </w:r>
      <w:r w:rsidR="00740A5E" w:rsidRPr="008C39DE">
        <w:rPr>
          <w:rFonts w:cstheme="minorHAnsi"/>
          <w:b/>
          <w:color w:val="FF0000"/>
          <w:sz w:val="24"/>
          <w:szCs w:val="24"/>
        </w:rPr>
        <w:t>(Recommended)</w:t>
      </w:r>
    </w:p>
    <w:p w14:paraId="1A09B8E8" w14:textId="77777777" w:rsidR="00212676" w:rsidRDefault="00212676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8603A60" w14:textId="67253907" w:rsidR="00DD33A5" w:rsidRDefault="00DD33A5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3155 – Travel Reimbursement</w:t>
      </w:r>
    </w:p>
    <w:p w14:paraId="466DEF7A" w14:textId="26631FDB" w:rsidR="00DD33A5" w:rsidRPr="003D29E9" w:rsidRDefault="003D29E9" w:rsidP="0079652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Policy 3155 was updated with minor housekeeping changes. </w:t>
      </w:r>
      <w:r w:rsidRPr="008C39DE">
        <w:rPr>
          <w:rFonts w:cstheme="minorHAnsi"/>
          <w:b/>
          <w:color w:val="FF0000"/>
          <w:sz w:val="24"/>
          <w:szCs w:val="24"/>
        </w:rPr>
        <w:t>(Recommended)</w:t>
      </w:r>
      <w:r w:rsidR="00A82F66">
        <w:rPr>
          <w:rFonts w:cstheme="minorHAnsi"/>
          <w:b/>
          <w:color w:val="FF0000"/>
          <w:sz w:val="24"/>
          <w:szCs w:val="24"/>
        </w:rPr>
        <w:br/>
      </w:r>
    </w:p>
    <w:p w14:paraId="7FB61194" w14:textId="26E99604" w:rsidR="00E202FE" w:rsidRDefault="00E202FE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3160 – Unclaimed Property</w:t>
      </w:r>
    </w:p>
    <w:p w14:paraId="6A2CE48E" w14:textId="5CF33EAD" w:rsidR="00E202FE" w:rsidRPr="00872217" w:rsidRDefault="00872217" w:rsidP="0079652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Policy 3160 was updated to include a responsible employee.  There were</w:t>
      </w:r>
      <w:r w:rsidR="006175D9">
        <w:rPr>
          <w:rFonts w:cstheme="minorHAnsi"/>
          <w:bCs/>
          <w:sz w:val="24"/>
          <w:szCs w:val="24"/>
        </w:rPr>
        <w:t xml:space="preserve"> other minor housekeeping changes to the policy, including referencing the applicability of state law. </w:t>
      </w:r>
      <w:r w:rsidR="00E22E72">
        <w:rPr>
          <w:rFonts w:cstheme="minorHAnsi"/>
          <w:bCs/>
          <w:sz w:val="24"/>
          <w:szCs w:val="24"/>
        </w:rPr>
        <w:t xml:space="preserve">One new Key Field was added to this policy (3160-10). </w:t>
      </w:r>
      <w:r w:rsidR="006175D9" w:rsidRPr="008C39DE">
        <w:rPr>
          <w:rFonts w:cstheme="minorHAnsi"/>
          <w:b/>
          <w:color w:val="FF0000"/>
          <w:sz w:val="24"/>
          <w:szCs w:val="24"/>
        </w:rPr>
        <w:t>(Recommended)</w:t>
      </w:r>
    </w:p>
    <w:p w14:paraId="27E786A6" w14:textId="77777777" w:rsidR="00E202FE" w:rsidRDefault="00E202FE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B0CF1A2" w14:textId="55C4F349" w:rsidR="00970BCB" w:rsidRDefault="00970BCB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3170 – Troubled Debt Restructure</w:t>
      </w:r>
    </w:p>
    <w:p w14:paraId="5A6DD247" w14:textId="2EEAA46D" w:rsidR="00970BCB" w:rsidRDefault="00BF33D7" w:rsidP="0079652D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Credit unions that are complying with the new CECL standard are no longer required to account for Troubled Debt Restructurings (TDRs).  This policy </w:t>
      </w:r>
      <w:r w:rsidR="004058AD">
        <w:rPr>
          <w:rFonts w:cstheme="minorHAnsi"/>
          <w:bCs/>
          <w:sz w:val="24"/>
          <w:szCs w:val="24"/>
        </w:rPr>
        <w:t>is being maintained for credit unions under</w:t>
      </w:r>
      <w:r w:rsidR="000F6E46">
        <w:rPr>
          <w:rFonts w:cstheme="minorHAnsi"/>
          <w:bCs/>
          <w:sz w:val="24"/>
          <w:szCs w:val="24"/>
        </w:rPr>
        <w:t xml:space="preserve"> $10 million who do not need to comply with the CECL standard. </w:t>
      </w:r>
      <w:r w:rsidR="004D4EF5" w:rsidRPr="00974218">
        <w:rPr>
          <w:rFonts w:cstheme="minorHAnsi"/>
          <w:b/>
          <w:color w:val="FF0000"/>
          <w:sz w:val="24"/>
          <w:szCs w:val="24"/>
        </w:rPr>
        <w:t>(Recommended)</w:t>
      </w:r>
    </w:p>
    <w:p w14:paraId="7AB2C216" w14:textId="36CCB3B0" w:rsidR="004843DA" w:rsidRDefault="004843DA" w:rsidP="0079652D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66163DC7" w14:textId="0A1C89A5" w:rsidR="004843DA" w:rsidRPr="004E0E26" w:rsidRDefault="004843DA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E0E26">
        <w:rPr>
          <w:rFonts w:cstheme="minorHAnsi"/>
          <w:b/>
          <w:sz w:val="24"/>
          <w:szCs w:val="24"/>
          <w:u w:val="single"/>
        </w:rPr>
        <w:t>5500</w:t>
      </w:r>
      <w:r w:rsidR="006B4286" w:rsidRPr="004E0E26">
        <w:rPr>
          <w:rFonts w:cstheme="minorHAnsi"/>
          <w:b/>
          <w:sz w:val="24"/>
          <w:szCs w:val="24"/>
          <w:u w:val="single"/>
        </w:rPr>
        <w:t xml:space="preserve"> – Ownership of Fixed Assets</w:t>
      </w:r>
    </w:p>
    <w:p w14:paraId="03D94407" w14:textId="08B20662" w:rsidR="006B4286" w:rsidRPr="00090EF8" w:rsidRDefault="00090EF8" w:rsidP="0079652D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policy was updated to include the content from Policy 3130, which was specifically related to the account treatment for </w:t>
      </w:r>
      <w:r w:rsidR="009B7D29">
        <w:rPr>
          <w:rFonts w:cstheme="minorHAnsi"/>
          <w:bCs/>
          <w:sz w:val="24"/>
          <w:szCs w:val="24"/>
        </w:rPr>
        <w:t>the ownership of fixed</w:t>
      </w:r>
      <w:r w:rsidR="004E0E26">
        <w:rPr>
          <w:rFonts w:cstheme="minorHAnsi"/>
          <w:bCs/>
          <w:sz w:val="24"/>
          <w:szCs w:val="24"/>
        </w:rPr>
        <w:t xml:space="preserve"> assets.</w:t>
      </w:r>
      <w:r w:rsidR="004C6BD5">
        <w:rPr>
          <w:rFonts w:cstheme="minorHAnsi"/>
          <w:bCs/>
          <w:sz w:val="24"/>
          <w:szCs w:val="24"/>
        </w:rPr>
        <w:t xml:space="preserve">  The policy was also updated to include content related to the </w:t>
      </w:r>
      <w:r w:rsidR="00EB44A2">
        <w:rPr>
          <w:rFonts w:cstheme="minorHAnsi"/>
          <w:bCs/>
          <w:sz w:val="24"/>
          <w:szCs w:val="24"/>
        </w:rPr>
        <w:t xml:space="preserve">NCUA’s Incidental Powers for Excess Capacity, which would permit leasing in certain situations. </w:t>
      </w:r>
      <w:r w:rsidR="00EB44A2" w:rsidRPr="00974218">
        <w:rPr>
          <w:rFonts w:cstheme="minorHAnsi"/>
          <w:b/>
          <w:color w:val="FF0000"/>
          <w:sz w:val="24"/>
          <w:szCs w:val="24"/>
        </w:rPr>
        <w:t>(Recommended)</w:t>
      </w:r>
    </w:p>
    <w:p w14:paraId="6806882E" w14:textId="77777777" w:rsidR="00970BCB" w:rsidRDefault="00970BCB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E95FA08" w14:textId="6A9EC55E" w:rsidR="0079652D" w:rsidRPr="00573DEE" w:rsidRDefault="00E6505A" w:rsidP="007965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7213 – Military Personnel Loans</w:t>
      </w:r>
    </w:p>
    <w:p w14:paraId="49B1E452" w14:textId="1FE7D337" w:rsidR="004E0AAA" w:rsidRDefault="00E6505A" w:rsidP="00420A41">
      <w:pPr>
        <w:pStyle w:val="Default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color w:val="auto"/>
        </w:rPr>
        <w:t xml:space="preserve">Normally, CU PolicyPro does not include state-specific laws within model policies.  However, after the passage of </w:t>
      </w:r>
      <w:hyperlink r:id="rId6" w:history="1">
        <w:r w:rsidRPr="0046057D">
          <w:rPr>
            <w:rStyle w:val="Hyperlink"/>
            <w:rFonts w:asciiTheme="minorHAnsi" w:hAnsiTheme="minorHAnsi" w:cstheme="minorHAnsi"/>
          </w:rPr>
          <w:t>California Senate Bill (SB) 1311</w:t>
        </w:r>
        <w:r w:rsidR="0046057D" w:rsidRPr="0046057D">
          <w:rPr>
            <w:rStyle w:val="Hyperlink"/>
            <w:rFonts w:asciiTheme="minorHAnsi" w:hAnsiTheme="minorHAnsi" w:cstheme="minorHAnsi"/>
          </w:rPr>
          <w:t xml:space="preserve"> – Military and Veteran Consumer Protection Act of 2022</w:t>
        </w:r>
      </w:hyperlink>
      <w:r w:rsidR="00031BC3">
        <w:rPr>
          <w:rFonts w:asciiTheme="minorHAnsi" w:hAnsiTheme="minorHAnsi" w:cstheme="minorHAnsi"/>
          <w:color w:val="auto"/>
        </w:rPr>
        <w:t xml:space="preserve">, </w:t>
      </w:r>
      <w:r w:rsidR="00B73A31">
        <w:rPr>
          <w:rFonts w:asciiTheme="minorHAnsi" w:hAnsiTheme="minorHAnsi" w:cstheme="minorHAnsi"/>
          <w:color w:val="auto"/>
        </w:rPr>
        <w:t xml:space="preserve">we felt it was important to create content to address the law in our model policy.  This particular state law will apply to </w:t>
      </w:r>
      <w:r w:rsidR="00CB0F4C">
        <w:rPr>
          <w:rFonts w:asciiTheme="minorHAnsi" w:hAnsiTheme="minorHAnsi" w:cstheme="minorHAnsi"/>
          <w:color w:val="auto"/>
        </w:rPr>
        <w:t xml:space="preserve">residents of California and </w:t>
      </w:r>
      <w:r w:rsidR="004E0AAA">
        <w:rPr>
          <w:rFonts w:asciiTheme="minorHAnsi" w:hAnsiTheme="minorHAnsi" w:cstheme="minorHAnsi"/>
          <w:color w:val="auto"/>
        </w:rPr>
        <w:t xml:space="preserve">transactions being conducted in California. </w:t>
      </w:r>
      <w:r w:rsidR="00420A41" w:rsidRPr="00573DEE">
        <w:rPr>
          <w:rFonts w:asciiTheme="minorHAnsi" w:hAnsiTheme="minorHAnsi" w:cstheme="minorHAnsi"/>
          <w:color w:val="auto"/>
        </w:rPr>
        <w:t xml:space="preserve"> </w:t>
      </w:r>
      <w:r w:rsidR="0079652D" w:rsidRPr="00573DEE">
        <w:rPr>
          <w:rFonts w:asciiTheme="minorHAnsi" w:hAnsiTheme="minorHAnsi" w:cstheme="minorHAnsi"/>
          <w:b/>
          <w:color w:val="FF0000"/>
        </w:rPr>
        <w:t>(Re</w:t>
      </w:r>
      <w:r w:rsidR="00157106" w:rsidRPr="00573DEE">
        <w:rPr>
          <w:rFonts w:asciiTheme="minorHAnsi" w:hAnsiTheme="minorHAnsi" w:cstheme="minorHAnsi"/>
          <w:b/>
          <w:color w:val="FF0000"/>
        </w:rPr>
        <w:t>quired</w:t>
      </w:r>
      <w:r w:rsidR="0079652D" w:rsidRPr="00573DEE">
        <w:rPr>
          <w:rFonts w:asciiTheme="minorHAnsi" w:hAnsiTheme="minorHAnsi" w:cstheme="minorHAnsi"/>
          <w:b/>
          <w:color w:val="FF0000"/>
        </w:rPr>
        <w:t>)</w:t>
      </w:r>
    </w:p>
    <w:p w14:paraId="1B9EB9F4" w14:textId="3350785E" w:rsidR="002F28AF" w:rsidRDefault="002F28AF" w:rsidP="00420A41">
      <w:pPr>
        <w:pStyle w:val="Default"/>
        <w:rPr>
          <w:rFonts w:asciiTheme="minorHAnsi" w:hAnsiTheme="minorHAnsi" w:cstheme="minorHAnsi"/>
          <w:b/>
          <w:color w:val="FF0000"/>
        </w:rPr>
      </w:pPr>
    </w:p>
    <w:p w14:paraId="312686DD" w14:textId="55E36C09" w:rsidR="002F28AF" w:rsidRDefault="002F28AF" w:rsidP="00C40A26">
      <w:pPr>
        <w:spacing w:after="0" w:line="240" w:lineRule="auto"/>
        <w:rPr>
          <w:rFonts w:cstheme="minorHAnsi"/>
          <w:b/>
          <w:color w:val="FF0000"/>
        </w:rPr>
      </w:pPr>
      <w:r w:rsidRPr="00C40A26">
        <w:rPr>
          <w:rFonts w:cstheme="minorHAnsi"/>
          <w:b/>
          <w:sz w:val="32"/>
          <w:szCs w:val="32"/>
        </w:rPr>
        <w:t>Archived Policies</w:t>
      </w:r>
      <w:r>
        <w:rPr>
          <w:rFonts w:cstheme="minorHAnsi"/>
          <w:b/>
          <w:color w:val="FF0000"/>
        </w:rPr>
        <w:br/>
      </w:r>
    </w:p>
    <w:p w14:paraId="78F3B730" w14:textId="77777777" w:rsidR="002F28AF" w:rsidRPr="004843DA" w:rsidRDefault="002F28AF" w:rsidP="002F28AF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4008A9">
        <w:rPr>
          <w:rFonts w:cstheme="minorHAnsi"/>
          <w:b/>
          <w:sz w:val="24"/>
          <w:szCs w:val="24"/>
          <w:u w:val="single"/>
        </w:rPr>
        <w:t xml:space="preserve">3130 – Fixed Assets </w:t>
      </w:r>
      <w:r w:rsidRPr="004843DA">
        <w:rPr>
          <w:b/>
          <w:bCs/>
          <w:color w:val="FF0000"/>
          <w:u w:val="single"/>
        </w:rPr>
        <w:t>** ARCHIVED**</w:t>
      </w:r>
    </w:p>
    <w:p w14:paraId="38C79B42" w14:textId="77777777" w:rsidR="002F28AF" w:rsidRPr="00817546" w:rsidRDefault="002F28AF" w:rsidP="002F28AF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content of this policy has been added to Policy 5500 – Ownership of Fixed Assets. Therefore, this policy is being archived and removed from the model database.  </w:t>
      </w:r>
      <w:r w:rsidRPr="008C39DE">
        <w:rPr>
          <w:rFonts w:cstheme="minorHAnsi"/>
          <w:b/>
          <w:color w:val="FF0000"/>
          <w:sz w:val="24"/>
          <w:szCs w:val="24"/>
        </w:rPr>
        <w:t>(Recommended)</w:t>
      </w:r>
    </w:p>
    <w:p w14:paraId="5C9BFF54" w14:textId="77777777" w:rsidR="002F28AF" w:rsidRPr="00770AE9" w:rsidRDefault="002F28AF" w:rsidP="002F28A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79F16E0" w14:textId="77777777" w:rsidR="002F28AF" w:rsidRPr="004843DA" w:rsidRDefault="002F28AF" w:rsidP="002F28AF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r w:rsidRPr="004008A9">
        <w:rPr>
          <w:rFonts w:cstheme="minorHAnsi"/>
          <w:b/>
          <w:sz w:val="24"/>
          <w:szCs w:val="24"/>
          <w:u w:val="single"/>
        </w:rPr>
        <w:t>313</w:t>
      </w:r>
      <w:r>
        <w:rPr>
          <w:rFonts w:cstheme="minorHAnsi"/>
          <w:b/>
          <w:sz w:val="24"/>
          <w:szCs w:val="24"/>
          <w:u w:val="single"/>
        </w:rPr>
        <w:t>5</w:t>
      </w:r>
      <w:r w:rsidRPr="004008A9">
        <w:rPr>
          <w:rFonts w:cstheme="minorHAnsi"/>
          <w:b/>
          <w:sz w:val="24"/>
          <w:szCs w:val="24"/>
          <w:u w:val="single"/>
        </w:rPr>
        <w:t xml:space="preserve"> – </w:t>
      </w:r>
      <w:r>
        <w:rPr>
          <w:rFonts w:cstheme="minorHAnsi"/>
          <w:b/>
          <w:sz w:val="24"/>
          <w:szCs w:val="24"/>
          <w:u w:val="single"/>
        </w:rPr>
        <w:t>Interest Income</w:t>
      </w:r>
      <w:r w:rsidRPr="004008A9">
        <w:rPr>
          <w:rFonts w:cstheme="minorHAnsi"/>
          <w:b/>
          <w:sz w:val="24"/>
          <w:szCs w:val="24"/>
          <w:u w:val="single"/>
        </w:rPr>
        <w:t xml:space="preserve"> </w:t>
      </w:r>
      <w:r w:rsidRPr="004843DA">
        <w:rPr>
          <w:b/>
          <w:bCs/>
          <w:color w:val="FF0000"/>
          <w:u w:val="single"/>
        </w:rPr>
        <w:t>** ARCHIVED**</w:t>
      </w:r>
    </w:p>
    <w:p w14:paraId="54AFD7B9" w14:textId="23983B78" w:rsidR="002F28AF" w:rsidRDefault="002F28AF" w:rsidP="00C40A26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Cs/>
          <w:sz w:val="24"/>
          <w:szCs w:val="24"/>
        </w:rPr>
        <w:t xml:space="preserve">The content of this policy has overlapping content within Policies 3165, 3170, and 5300 and is therefore, being archived and removed from the model database.  </w:t>
      </w:r>
      <w:r w:rsidRPr="008C39DE">
        <w:rPr>
          <w:rFonts w:cstheme="minorHAnsi"/>
          <w:b/>
          <w:color w:val="FF0000"/>
          <w:sz w:val="24"/>
          <w:szCs w:val="24"/>
        </w:rPr>
        <w:t>(Recommended)</w:t>
      </w:r>
    </w:p>
    <w:p w14:paraId="71D2D7F0" w14:textId="40B30953" w:rsidR="00A91C0F" w:rsidRPr="00F168CD" w:rsidRDefault="00A91C0F" w:rsidP="00420A41">
      <w:pPr>
        <w:pStyle w:val="Default"/>
        <w:rPr>
          <w:rFonts w:cstheme="minorHAnsi"/>
          <w:b/>
          <w:color w:val="auto"/>
        </w:rPr>
      </w:pPr>
    </w:p>
    <w:p w14:paraId="2F7987CD" w14:textId="3531E322" w:rsidR="00A91C0F" w:rsidRPr="002F28AF" w:rsidRDefault="00A91C0F" w:rsidP="00C40A26">
      <w:pPr>
        <w:spacing w:after="0" w:line="240" w:lineRule="auto"/>
        <w:rPr>
          <w:rFonts w:cstheme="minorHAnsi"/>
          <w:b/>
        </w:rPr>
      </w:pPr>
      <w:r w:rsidRPr="00C40A26">
        <w:rPr>
          <w:rFonts w:cstheme="minorHAnsi"/>
          <w:b/>
          <w:sz w:val="32"/>
          <w:szCs w:val="32"/>
        </w:rPr>
        <w:t>Policies Reviewed with No Changes</w:t>
      </w:r>
      <w:r w:rsidR="002F28AF">
        <w:rPr>
          <w:rFonts w:cstheme="minorHAnsi"/>
          <w:b/>
        </w:rPr>
        <w:br/>
        <w:t xml:space="preserve"> </w:t>
      </w:r>
    </w:p>
    <w:p w14:paraId="2C243A4F" w14:textId="3FA80DD8" w:rsidR="00A91C0F" w:rsidRPr="00F168CD" w:rsidRDefault="00A91C0F" w:rsidP="00420A41">
      <w:pPr>
        <w:pStyle w:val="Default"/>
        <w:rPr>
          <w:rFonts w:cstheme="minorHAnsi"/>
          <w:b/>
          <w:color w:val="auto"/>
        </w:rPr>
      </w:pPr>
      <w:r w:rsidRPr="00F168CD">
        <w:rPr>
          <w:rFonts w:cstheme="minorHAnsi"/>
          <w:b/>
          <w:color w:val="auto"/>
        </w:rPr>
        <w:t xml:space="preserve">3165 </w:t>
      </w:r>
      <w:r w:rsidR="00F168CD" w:rsidRPr="00F168CD">
        <w:rPr>
          <w:rFonts w:cstheme="minorHAnsi"/>
          <w:b/>
          <w:color w:val="auto"/>
        </w:rPr>
        <w:t>–</w:t>
      </w:r>
      <w:r w:rsidRPr="00F168CD">
        <w:rPr>
          <w:rFonts w:cstheme="minorHAnsi"/>
          <w:b/>
          <w:color w:val="auto"/>
        </w:rPr>
        <w:t xml:space="preserve"> </w:t>
      </w:r>
      <w:r w:rsidR="00F168CD" w:rsidRPr="00F168CD">
        <w:rPr>
          <w:rFonts w:cstheme="minorHAnsi"/>
          <w:b/>
          <w:color w:val="auto"/>
        </w:rPr>
        <w:t>Loan Workouts and Nonaccr</w:t>
      </w:r>
      <w:r w:rsidR="00F168CD">
        <w:rPr>
          <w:rFonts w:cstheme="minorHAnsi"/>
          <w:b/>
          <w:color w:val="auto"/>
        </w:rPr>
        <w:t>u</w:t>
      </w:r>
      <w:r w:rsidR="00F168CD" w:rsidRPr="00F168CD">
        <w:rPr>
          <w:rFonts w:cstheme="minorHAnsi"/>
          <w:b/>
          <w:color w:val="auto"/>
        </w:rPr>
        <w:t>al Standards</w:t>
      </w:r>
    </w:p>
    <w:p w14:paraId="0C3AC193" w14:textId="3FBD86AC" w:rsidR="00E92789" w:rsidRDefault="00E92789" w:rsidP="00DA0CC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sectPr w:rsidR="00E9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39CF"/>
    <w:multiLevelType w:val="hybridMultilevel"/>
    <w:tmpl w:val="D9F2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74C9"/>
    <w:multiLevelType w:val="hybridMultilevel"/>
    <w:tmpl w:val="430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4B85"/>
    <w:multiLevelType w:val="hybridMultilevel"/>
    <w:tmpl w:val="06068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7C4"/>
    <w:multiLevelType w:val="multilevel"/>
    <w:tmpl w:val="109C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3369B"/>
    <w:multiLevelType w:val="multilevel"/>
    <w:tmpl w:val="16E0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06761">
    <w:abstractNumId w:val="2"/>
  </w:num>
  <w:num w:numId="2" w16cid:durableId="826559424">
    <w:abstractNumId w:val="0"/>
  </w:num>
  <w:num w:numId="3" w16cid:durableId="1408961553">
    <w:abstractNumId w:val="1"/>
  </w:num>
  <w:num w:numId="4" w16cid:durableId="1449275341">
    <w:abstractNumId w:val="3"/>
  </w:num>
  <w:num w:numId="5" w16cid:durableId="2045401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5D"/>
    <w:rsid w:val="00000308"/>
    <w:rsid w:val="000122D8"/>
    <w:rsid w:val="00031BC3"/>
    <w:rsid w:val="0004254B"/>
    <w:rsid w:val="00047C4B"/>
    <w:rsid w:val="00055BD6"/>
    <w:rsid w:val="0006728A"/>
    <w:rsid w:val="0007470B"/>
    <w:rsid w:val="00083017"/>
    <w:rsid w:val="00084354"/>
    <w:rsid w:val="00090EF8"/>
    <w:rsid w:val="000B3360"/>
    <w:rsid w:val="000C7CE2"/>
    <w:rsid w:val="000F1E52"/>
    <w:rsid w:val="000F6D7E"/>
    <w:rsid w:val="000F6E46"/>
    <w:rsid w:val="00101D20"/>
    <w:rsid w:val="00103F2C"/>
    <w:rsid w:val="00113A5F"/>
    <w:rsid w:val="00121BE0"/>
    <w:rsid w:val="00127F99"/>
    <w:rsid w:val="00145FDF"/>
    <w:rsid w:val="00157106"/>
    <w:rsid w:val="00160B18"/>
    <w:rsid w:val="00161C2C"/>
    <w:rsid w:val="00163212"/>
    <w:rsid w:val="00167E82"/>
    <w:rsid w:val="001810E8"/>
    <w:rsid w:val="00192FCC"/>
    <w:rsid w:val="001955B0"/>
    <w:rsid w:val="001A5ECD"/>
    <w:rsid w:val="001B08E4"/>
    <w:rsid w:val="001B751A"/>
    <w:rsid w:val="001E48FE"/>
    <w:rsid w:val="001F6737"/>
    <w:rsid w:val="00200E1E"/>
    <w:rsid w:val="00201C6D"/>
    <w:rsid w:val="0020441B"/>
    <w:rsid w:val="00211565"/>
    <w:rsid w:val="00212676"/>
    <w:rsid w:val="00215215"/>
    <w:rsid w:val="00227629"/>
    <w:rsid w:val="002358FD"/>
    <w:rsid w:val="0024208B"/>
    <w:rsid w:val="00243151"/>
    <w:rsid w:val="00243C50"/>
    <w:rsid w:val="0025065F"/>
    <w:rsid w:val="0025663D"/>
    <w:rsid w:val="00263F28"/>
    <w:rsid w:val="00264481"/>
    <w:rsid w:val="002644C9"/>
    <w:rsid w:val="00272C9C"/>
    <w:rsid w:val="00277F80"/>
    <w:rsid w:val="00285346"/>
    <w:rsid w:val="00290942"/>
    <w:rsid w:val="00290D1A"/>
    <w:rsid w:val="00293300"/>
    <w:rsid w:val="0029358D"/>
    <w:rsid w:val="002946C0"/>
    <w:rsid w:val="002A4CB6"/>
    <w:rsid w:val="002A6E4E"/>
    <w:rsid w:val="002B47E9"/>
    <w:rsid w:val="002E07FE"/>
    <w:rsid w:val="002E2534"/>
    <w:rsid w:val="002F02C6"/>
    <w:rsid w:val="002F28AF"/>
    <w:rsid w:val="002F5630"/>
    <w:rsid w:val="00300E36"/>
    <w:rsid w:val="00320C92"/>
    <w:rsid w:val="00324269"/>
    <w:rsid w:val="00327A13"/>
    <w:rsid w:val="00334276"/>
    <w:rsid w:val="00336619"/>
    <w:rsid w:val="00337AC4"/>
    <w:rsid w:val="003539ED"/>
    <w:rsid w:val="003622C7"/>
    <w:rsid w:val="00363D6F"/>
    <w:rsid w:val="00366F65"/>
    <w:rsid w:val="00371227"/>
    <w:rsid w:val="00371A7F"/>
    <w:rsid w:val="00375709"/>
    <w:rsid w:val="00375D98"/>
    <w:rsid w:val="003851D9"/>
    <w:rsid w:val="00390164"/>
    <w:rsid w:val="00392086"/>
    <w:rsid w:val="00396882"/>
    <w:rsid w:val="003B0C9E"/>
    <w:rsid w:val="003B703C"/>
    <w:rsid w:val="003B7A9A"/>
    <w:rsid w:val="003C3310"/>
    <w:rsid w:val="003D29E9"/>
    <w:rsid w:val="003D44F1"/>
    <w:rsid w:val="003E4902"/>
    <w:rsid w:val="003E7E1E"/>
    <w:rsid w:val="003F49E3"/>
    <w:rsid w:val="003F57EA"/>
    <w:rsid w:val="004008A9"/>
    <w:rsid w:val="004058AD"/>
    <w:rsid w:val="0041300B"/>
    <w:rsid w:val="004130BD"/>
    <w:rsid w:val="00417462"/>
    <w:rsid w:val="00420A41"/>
    <w:rsid w:val="004318F0"/>
    <w:rsid w:val="00432BDF"/>
    <w:rsid w:val="00434B0F"/>
    <w:rsid w:val="0043733F"/>
    <w:rsid w:val="00445906"/>
    <w:rsid w:val="0046057D"/>
    <w:rsid w:val="00467B54"/>
    <w:rsid w:val="00472E90"/>
    <w:rsid w:val="00480C2D"/>
    <w:rsid w:val="004843DA"/>
    <w:rsid w:val="00487B1A"/>
    <w:rsid w:val="004946EC"/>
    <w:rsid w:val="004A1448"/>
    <w:rsid w:val="004A3D98"/>
    <w:rsid w:val="004A7080"/>
    <w:rsid w:val="004B77FF"/>
    <w:rsid w:val="004C546A"/>
    <w:rsid w:val="004C6BD5"/>
    <w:rsid w:val="004C7DFE"/>
    <w:rsid w:val="004D06C7"/>
    <w:rsid w:val="004D4EF5"/>
    <w:rsid w:val="004E0AAA"/>
    <w:rsid w:val="004E0E26"/>
    <w:rsid w:val="004E1110"/>
    <w:rsid w:val="004E4D3A"/>
    <w:rsid w:val="004E50C2"/>
    <w:rsid w:val="004F03B3"/>
    <w:rsid w:val="0050188B"/>
    <w:rsid w:val="00504D7D"/>
    <w:rsid w:val="005066CA"/>
    <w:rsid w:val="0051642E"/>
    <w:rsid w:val="00522BA4"/>
    <w:rsid w:val="005441B6"/>
    <w:rsid w:val="00553B99"/>
    <w:rsid w:val="00555C6A"/>
    <w:rsid w:val="005574BF"/>
    <w:rsid w:val="00562AE7"/>
    <w:rsid w:val="00573DEE"/>
    <w:rsid w:val="00591682"/>
    <w:rsid w:val="00592E5C"/>
    <w:rsid w:val="00593897"/>
    <w:rsid w:val="005A0EFA"/>
    <w:rsid w:val="005A4892"/>
    <w:rsid w:val="005B3071"/>
    <w:rsid w:val="005C1CB4"/>
    <w:rsid w:val="005C30FC"/>
    <w:rsid w:val="005D1D69"/>
    <w:rsid w:val="005D29F8"/>
    <w:rsid w:val="005E68B9"/>
    <w:rsid w:val="005F076D"/>
    <w:rsid w:val="005F7649"/>
    <w:rsid w:val="006045FA"/>
    <w:rsid w:val="00616038"/>
    <w:rsid w:val="006175D9"/>
    <w:rsid w:val="006179C2"/>
    <w:rsid w:val="00631F31"/>
    <w:rsid w:val="00631F94"/>
    <w:rsid w:val="00657927"/>
    <w:rsid w:val="00665AE7"/>
    <w:rsid w:val="00670173"/>
    <w:rsid w:val="006772F5"/>
    <w:rsid w:val="00681620"/>
    <w:rsid w:val="006836B8"/>
    <w:rsid w:val="00696CEF"/>
    <w:rsid w:val="006A03F0"/>
    <w:rsid w:val="006A2FFF"/>
    <w:rsid w:val="006B0E8B"/>
    <w:rsid w:val="006B4286"/>
    <w:rsid w:val="006B4920"/>
    <w:rsid w:val="006B5CAA"/>
    <w:rsid w:val="006C50F8"/>
    <w:rsid w:val="006D5B47"/>
    <w:rsid w:val="006D6DA2"/>
    <w:rsid w:val="006E0AF8"/>
    <w:rsid w:val="006E0BF9"/>
    <w:rsid w:val="006E3494"/>
    <w:rsid w:val="00700142"/>
    <w:rsid w:val="007060B5"/>
    <w:rsid w:val="00725B88"/>
    <w:rsid w:val="007261EE"/>
    <w:rsid w:val="00740A5E"/>
    <w:rsid w:val="00742C73"/>
    <w:rsid w:val="00753BAB"/>
    <w:rsid w:val="00754C21"/>
    <w:rsid w:val="0076695D"/>
    <w:rsid w:val="00767E67"/>
    <w:rsid w:val="00770AE9"/>
    <w:rsid w:val="00777C55"/>
    <w:rsid w:val="0079652D"/>
    <w:rsid w:val="00796CA5"/>
    <w:rsid w:val="007B12C4"/>
    <w:rsid w:val="007B62CD"/>
    <w:rsid w:val="007E0848"/>
    <w:rsid w:val="007F3C6B"/>
    <w:rsid w:val="007F446A"/>
    <w:rsid w:val="00817546"/>
    <w:rsid w:val="00820D5E"/>
    <w:rsid w:val="008261E5"/>
    <w:rsid w:val="008464BF"/>
    <w:rsid w:val="008510DC"/>
    <w:rsid w:val="00853D78"/>
    <w:rsid w:val="00866460"/>
    <w:rsid w:val="0086712F"/>
    <w:rsid w:val="00872217"/>
    <w:rsid w:val="008767DB"/>
    <w:rsid w:val="00877FA6"/>
    <w:rsid w:val="008815FA"/>
    <w:rsid w:val="0088480A"/>
    <w:rsid w:val="0089409D"/>
    <w:rsid w:val="008960B7"/>
    <w:rsid w:val="008A4F1C"/>
    <w:rsid w:val="008A635B"/>
    <w:rsid w:val="008B05D0"/>
    <w:rsid w:val="008B16A6"/>
    <w:rsid w:val="008C35C2"/>
    <w:rsid w:val="008C39DE"/>
    <w:rsid w:val="008C416F"/>
    <w:rsid w:val="008D0C38"/>
    <w:rsid w:val="008D2E9B"/>
    <w:rsid w:val="008E5626"/>
    <w:rsid w:val="008E5C06"/>
    <w:rsid w:val="008F764C"/>
    <w:rsid w:val="00902E64"/>
    <w:rsid w:val="0092053B"/>
    <w:rsid w:val="00927D13"/>
    <w:rsid w:val="00927EF9"/>
    <w:rsid w:val="00942482"/>
    <w:rsid w:val="00946C39"/>
    <w:rsid w:val="009532D1"/>
    <w:rsid w:val="00962462"/>
    <w:rsid w:val="00964455"/>
    <w:rsid w:val="00970BCB"/>
    <w:rsid w:val="009713FE"/>
    <w:rsid w:val="00974218"/>
    <w:rsid w:val="00976CB1"/>
    <w:rsid w:val="00976EA4"/>
    <w:rsid w:val="009846EE"/>
    <w:rsid w:val="00991B4C"/>
    <w:rsid w:val="009B7D29"/>
    <w:rsid w:val="009C2C51"/>
    <w:rsid w:val="009D20D5"/>
    <w:rsid w:val="009D3725"/>
    <w:rsid w:val="009D46D9"/>
    <w:rsid w:val="009D7111"/>
    <w:rsid w:val="009E0E41"/>
    <w:rsid w:val="009E241D"/>
    <w:rsid w:val="009E28B8"/>
    <w:rsid w:val="009E45DF"/>
    <w:rsid w:val="00A00EB0"/>
    <w:rsid w:val="00A06378"/>
    <w:rsid w:val="00A214CE"/>
    <w:rsid w:val="00A26E6A"/>
    <w:rsid w:val="00A27BE2"/>
    <w:rsid w:val="00A47FAF"/>
    <w:rsid w:val="00A50264"/>
    <w:rsid w:val="00A5048D"/>
    <w:rsid w:val="00A50525"/>
    <w:rsid w:val="00A510CC"/>
    <w:rsid w:val="00A566EA"/>
    <w:rsid w:val="00A67515"/>
    <w:rsid w:val="00A67EA6"/>
    <w:rsid w:val="00A7581A"/>
    <w:rsid w:val="00A77798"/>
    <w:rsid w:val="00A77CCE"/>
    <w:rsid w:val="00A82F66"/>
    <w:rsid w:val="00A87F47"/>
    <w:rsid w:val="00A91C0F"/>
    <w:rsid w:val="00AA096B"/>
    <w:rsid w:val="00AA4ABB"/>
    <w:rsid w:val="00AB1C90"/>
    <w:rsid w:val="00AF2112"/>
    <w:rsid w:val="00AF2694"/>
    <w:rsid w:val="00B02830"/>
    <w:rsid w:val="00B13A16"/>
    <w:rsid w:val="00B27B9E"/>
    <w:rsid w:val="00B30665"/>
    <w:rsid w:val="00B31562"/>
    <w:rsid w:val="00B369CA"/>
    <w:rsid w:val="00B46F00"/>
    <w:rsid w:val="00B55B52"/>
    <w:rsid w:val="00B704D2"/>
    <w:rsid w:val="00B71822"/>
    <w:rsid w:val="00B73A31"/>
    <w:rsid w:val="00B77140"/>
    <w:rsid w:val="00BB4F49"/>
    <w:rsid w:val="00BC27BC"/>
    <w:rsid w:val="00BE4C7B"/>
    <w:rsid w:val="00BE65B3"/>
    <w:rsid w:val="00BF33D7"/>
    <w:rsid w:val="00BF780D"/>
    <w:rsid w:val="00C0154D"/>
    <w:rsid w:val="00C1673C"/>
    <w:rsid w:val="00C24FEA"/>
    <w:rsid w:val="00C40A26"/>
    <w:rsid w:val="00C41066"/>
    <w:rsid w:val="00C41551"/>
    <w:rsid w:val="00C42BAD"/>
    <w:rsid w:val="00C44BAF"/>
    <w:rsid w:val="00C568D9"/>
    <w:rsid w:val="00C57124"/>
    <w:rsid w:val="00C63F95"/>
    <w:rsid w:val="00C776AA"/>
    <w:rsid w:val="00C8744E"/>
    <w:rsid w:val="00C9129A"/>
    <w:rsid w:val="00CA5C14"/>
    <w:rsid w:val="00CB0F4C"/>
    <w:rsid w:val="00CC1B63"/>
    <w:rsid w:val="00CC29F8"/>
    <w:rsid w:val="00CC2ABF"/>
    <w:rsid w:val="00CC3C3B"/>
    <w:rsid w:val="00CC6208"/>
    <w:rsid w:val="00CD554F"/>
    <w:rsid w:val="00CE2F7E"/>
    <w:rsid w:val="00CE3D3A"/>
    <w:rsid w:val="00CE637A"/>
    <w:rsid w:val="00CF4E0A"/>
    <w:rsid w:val="00CF52EC"/>
    <w:rsid w:val="00D02F7B"/>
    <w:rsid w:val="00D46CA9"/>
    <w:rsid w:val="00D54803"/>
    <w:rsid w:val="00D54EAC"/>
    <w:rsid w:val="00D56FAB"/>
    <w:rsid w:val="00D6436E"/>
    <w:rsid w:val="00D75B55"/>
    <w:rsid w:val="00D81595"/>
    <w:rsid w:val="00D81687"/>
    <w:rsid w:val="00D82377"/>
    <w:rsid w:val="00D8412C"/>
    <w:rsid w:val="00D93CE5"/>
    <w:rsid w:val="00D94E3C"/>
    <w:rsid w:val="00DA0CC3"/>
    <w:rsid w:val="00DA29A7"/>
    <w:rsid w:val="00DA5174"/>
    <w:rsid w:val="00DB0F56"/>
    <w:rsid w:val="00DB2FB1"/>
    <w:rsid w:val="00DB32B6"/>
    <w:rsid w:val="00DB3FFA"/>
    <w:rsid w:val="00DC08FF"/>
    <w:rsid w:val="00DC2DF8"/>
    <w:rsid w:val="00DD2A88"/>
    <w:rsid w:val="00DD33A5"/>
    <w:rsid w:val="00DD5BEA"/>
    <w:rsid w:val="00DE15C9"/>
    <w:rsid w:val="00DF1DFB"/>
    <w:rsid w:val="00DF2754"/>
    <w:rsid w:val="00DF74D9"/>
    <w:rsid w:val="00E00516"/>
    <w:rsid w:val="00E13839"/>
    <w:rsid w:val="00E17D69"/>
    <w:rsid w:val="00E202FE"/>
    <w:rsid w:val="00E22E72"/>
    <w:rsid w:val="00E30A44"/>
    <w:rsid w:val="00E36BF4"/>
    <w:rsid w:val="00E42AB7"/>
    <w:rsid w:val="00E43087"/>
    <w:rsid w:val="00E4651F"/>
    <w:rsid w:val="00E50924"/>
    <w:rsid w:val="00E62FEB"/>
    <w:rsid w:val="00E6505A"/>
    <w:rsid w:val="00E80717"/>
    <w:rsid w:val="00E84769"/>
    <w:rsid w:val="00E92789"/>
    <w:rsid w:val="00E958A7"/>
    <w:rsid w:val="00EB44A2"/>
    <w:rsid w:val="00EB482A"/>
    <w:rsid w:val="00EC6261"/>
    <w:rsid w:val="00ED1DE2"/>
    <w:rsid w:val="00EE55C1"/>
    <w:rsid w:val="00EF40ED"/>
    <w:rsid w:val="00F00966"/>
    <w:rsid w:val="00F01F1D"/>
    <w:rsid w:val="00F05733"/>
    <w:rsid w:val="00F11209"/>
    <w:rsid w:val="00F12155"/>
    <w:rsid w:val="00F15B38"/>
    <w:rsid w:val="00F168CD"/>
    <w:rsid w:val="00F27226"/>
    <w:rsid w:val="00F35C56"/>
    <w:rsid w:val="00F45B3E"/>
    <w:rsid w:val="00F521BD"/>
    <w:rsid w:val="00F5279C"/>
    <w:rsid w:val="00F61439"/>
    <w:rsid w:val="00F64D8D"/>
    <w:rsid w:val="00F65EB9"/>
    <w:rsid w:val="00F732C2"/>
    <w:rsid w:val="00F82050"/>
    <w:rsid w:val="00F83332"/>
    <w:rsid w:val="00FB42B9"/>
    <w:rsid w:val="00FC09B5"/>
    <w:rsid w:val="00FC22B7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715C"/>
  <w15:chartTrackingRefBased/>
  <w15:docId w15:val="{4DDE9676-E819-4BED-BD83-2BE7AA8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0CC3"/>
    <w:rPr>
      <w:color w:val="0563C1" w:themeColor="hyperlink"/>
      <w:u w:val="single"/>
    </w:rPr>
  </w:style>
  <w:style w:type="paragraph" w:customStyle="1" w:styleId="Default">
    <w:name w:val="Default"/>
    <w:rsid w:val="00DA0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C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0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nfo.legislature.ca.gov/faces/billTextClient.xhtml?bill_id=202120220SB1311" TargetMode="External"/><Relationship Id="rId5" Type="http://schemas.openxmlformats.org/officeDocument/2006/relationships/hyperlink" Target="https://leginfo.legislature.ca.gov/faces/billTextClient.xhtml?bill_id=202120220SB1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Mary Ann Koelzer</cp:lastModifiedBy>
  <cp:revision>79</cp:revision>
  <dcterms:created xsi:type="dcterms:W3CDTF">2022-12-29T17:40:00Z</dcterms:created>
  <dcterms:modified xsi:type="dcterms:W3CDTF">2023-01-31T16:28:00Z</dcterms:modified>
</cp:coreProperties>
</file>